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方正黑体简体" w:hAnsi="方正黑体简体" w:eastAsia="方正黑体简体" w:cs="方正黑体简体"/>
          <w:color w:val="auto"/>
          <w:sz w:val="24"/>
          <w:szCs w:val="24"/>
          <w:lang w:val="en" w:eastAsia="zh-CN"/>
        </w:rPr>
      </w:pPr>
      <w:r>
        <w:rPr>
          <w:rFonts w:hint="eastAsia" w:ascii="方正黑体简体" w:hAnsi="方正黑体简体" w:eastAsia="方正黑体简体" w:cs="方正黑体简体"/>
          <w:color w:val="auto"/>
          <w:sz w:val="24"/>
          <w:szCs w:val="24"/>
          <w:lang w:val="en-US" w:eastAsia="zh-CN"/>
        </w:rPr>
        <w:t>附件</w:t>
      </w:r>
      <w:r>
        <w:rPr>
          <w:rFonts w:hint="default" w:ascii="方正黑体简体" w:hAnsi="方正黑体简体" w:eastAsia="方正黑体简体" w:cs="方正黑体简体"/>
          <w:color w:val="auto"/>
          <w:sz w:val="24"/>
          <w:szCs w:val="24"/>
          <w:lang w:val="en" w:eastAsia="zh-CN"/>
        </w:rPr>
        <w:t>1</w:t>
      </w:r>
      <w:bookmarkStart w:id="0" w:name="_GoBack"/>
      <w:bookmarkEnd w:id="0"/>
    </w:p>
    <w:p>
      <w:pPr>
        <w:pStyle w:val="2"/>
        <w:bidi w:val="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w:t>
      </w: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lang w:val="en-US" w:eastAsia="zh-CN"/>
        </w:rPr>
        <w:t>年造价咨询企业自查情况登记表</w:t>
      </w:r>
    </w:p>
    <w:tbl>
      <w:tblPr>
        <w:tblStyle w:val="6"/>
        <w:tblW w:w="52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672"/>
        <w:gridCol w:w="1769"/>
        <w:gridCol w:w="5"/>
        <w:gridCol w:w="1927"/>
        <w:gridCol w:w="1417"/>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企业名称</w:t>
            </w:r>
          </w:p>
        </w:tc>
        <w:tc>
          <w:tcPr>
            <w:tcW w:w="4215"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办公</w:t>
            </w:r>
            <w:r>
              <w:rPr>
                <w:rFonts w:hint="eastAsia" w:asciiTheme="minorEastAsia" w:hAnsiTheme="minorEastAsia" w:eastAsiaTheme="minorEastAsia" w:cstheme="minorEastAsia"/>
                <w:color w:val="auto"/>
                <w:sz w:val="21"/>
                <w:szCs w:val="21"/>
                <w:vertAlign w:val="baseline"/>
                <w:lang w:val="en-US" w:eastAsia="zh-CN"/>
              </w:rPr>
              <w:t>地址</w:t>
            </w:r>
          </w:p>
        </w:tc>
        <w:tc>
          <w:tcPr>
            <w:tcW w:w="1362"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107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注册地址</w:t>
            </w:r>
          </w:p>
        </w:tc>
        <w:tc>
          <w:tcPr>
            <w:tcW w:w="177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一级注册造价工程师人数</w:t>
            </w:r>
          </w:p>
        </w:tc>
        <w:tc>
          <w:tcPr>
            <w:tcW w:w="135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107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二级注册</w:t>
            </w:r>
            <w:r>
              <w:rPr>
                <w:rFonts w:hint="eastAsia" w:asciiTheme="minorEastAsia" w:hAnsiTheme="minorEastAsia" w:eastAsiaTheme="minorEastAsia" w:cstheme="minorEastAsia"/>
                <w:color w:val="auto"/>
                <w:sz w:val="21"/>
                <w:szCs w:val="21"/>
                <w:vertAlign w:val="baseline"/>
                <w:lang w:val="en-US" w:eastAsia="zh-CN"/>
              </w:rPr>
              <w:t>造价工程师人数</w:t>
            </w:r>
          </w:p>
        </w:tc>
        <w:tc>
          <w:tcPr>
            <w:tcW w:w="177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8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自查项目</w:t>
            </w: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自查内容</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自查情况</w:t>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8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违反法定业务承接程序、违法转包方面</w:t>
            </w: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同时接受招标人和投标人或者两个以上投标人对同一工程项目的工程造价咨询业务</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转包或承接他人转包的工程造价咨询业务</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允许其他企业或者个人以本企业的名义承揽工程造价咨询业务</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咨询合同方面</w:t>
            </w: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未签订书面合同</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已签订书面合同但未采用《建设工程造价咨询合同》示范文本且合同条款不完整（如缺失合同标的、服务内容、范围、期限、收费标准、违约责任等条款）</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未按照合同约定方式、期限等提供造价咨询服务</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执业操作规程、质量控制规程执行方面</w:t>
            </w: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未严格按照执业操作规程要求相关流程承接业务</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2</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全过程造价咨询（跟踪审计）服务过程中不按规定出具跟踪审计意见或未实质性出具意见</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3</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档案管理制度不健全，档案文件未及时归档或有缺失</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4</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内部管理制度和质量保证体系不健全，未执行三级复核制度，成果文件未</w:t>
            </w:r>
            <w:r>
              <w:rPr>
                <w:rFonts w:hint="eastAsia" w:asciiTheme="minorEastAsia" w:hAnsiTheme="minorEastAsia" w:cstheme="minorEastAsia"/>
                <w:color w:val="auto"/>
                <w:sz w:val="21"/>
                <w:szCs w:val="21"/>
                <w:vertAlign w:val="baseline"/>
                <w:lang w:val="en-US" w:eastAsia="zh-CN"/>
              </w:rPr>
              <w:t>经一、二级</w:t>
            </w:r>
            <w:r>
              <w:rPr>
                <w:rFonts w:hint="eastAsia" w:asciiTheme="minorEastAsia" w:hAnsiTheme="minorEastAsia" w:eastAsiaTheme="minorEastAsia" w:cstheme="minorEastAsia"/>
                <w:color w:val="auto"/>
                <w:sz w:val="21"/>
                <w:szCs w:val="21"/>
                <w:vertAlign w:val="baseline"/>
                <w:lang w:val="en-US" w:eastAsia="zh-CN"/>
              </w:rPr>
              <w:t>造价工程师</w:t>
            </w:r>
            <w:r>
              <w:rPr>
                <w:rFonts w:hint="eastAsia" w:asciiTheme="minorEastAsia" w:hAnsiTheme="minorEastAsia" w:cstheme="minorEastAsia"/>
                <w:color w:val="auto"/>
                <w:sz w:val="21"/>
                <w:szCs w:val="21"/>
                <w:vertAlign w:val="baseline"/>
                <w:lang w:val="en-US" w:eastAsia="zh-CN"/>
              </w:rPr>
              <w:t>本人</w:t>
            </w:r>
            <w:r>
              <w:rPr>
                <w:rFonts w:hint="eastAsia" w:asciiTheme="minorEastAsia" w:hAnsiTheme="minorEastAsia" w:eastAsiaTheme="minorEastAsia" w:cstheme="minorEastAsia"/>
                <w:color w:val="auto"/>
                <w:sz w:val="21"/>
                <w:szCs w:val="21"/>
                <w:vertAlign w:val="baseline"/>
                <w:lang w:val="en-US" w:eastAsia="zh-CN"/>
              </w:rPr>
              <w:t>签字盖章</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val="en-US" w:eastAsia="zh-CN"/>
              </w:rPr>
              <w:t>造价工程师社保与注册企业不符，注册证书超过有效期限，未按规定完成继续教育</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成果文件质量方面</w:t>
            </w: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1</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未按合同约定或现行计价依据编审工程造价成果文件</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kern w:val="2"/>
                <w:sz w:val="21"/>
                <w:szCs w:val="21"/>
                <w:vertAlign w:val="baseline"/>
                <w:lang w:val="en-US" w:eastAsia="zh-CN" w:bidi="ar-SA"/>
              </w:rPr>
              <w:t>2</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出具有虚假记载、误导性陈述的工程造价成果文件</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kern w:val="2"/>
                <w:sz w:val="21"/>
                <w:szCs w:val="21"/>
                <w:vertAlign w:val="baseline"/>
                <w:lang w:val="en-US" w:eastAsia="zh-CN" w:bidi="ar-SA"/>
              </w:rPr>
              <w:t>3</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工程造价成果文件格式不规范，编审说明不明确或存在错误</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工程造价成果文件编审结果存在明显偏差</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咨询收费方面</w:t>
            </w: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1</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未按合同约定收取费用</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2</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刻意压低基本收费，追求高额追加费用</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3</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弄虚作假</w:t>
            </w:r>
            <w:r>
              <w:rPr>
                <w:rFonts w:hint="eastAsia" w:asciiTheme="minorEastAsia" w:hAnsiTheme="minorEastAsia" w:eastAsiaTheme="minorEastAsia" w:cstheme="minorEastAsia"/>
                <w:color w:val="auto"/>
                <w:sz w:val="21"/>
                <w:szCs w:val="21"/>
                <w:vertAlign w:val="baseline"/>
                <w:lang w:val="en-US" w:eastAsia="zh-CN"/>
              </w:rPr>
              <w:t>，抬高送审造价，获取不当追加费</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4</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同一部位分部分项工程量清单子目分别计算核增核减追加费</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5</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将结果未出的项目评优评杯奖励导致的造价变化列入核增核减追加费基数</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kern w:val="2"/>
                <w:sz w:val="21"/>
                <w:szCs w:val="21"/>
                <w:vertAlign w:val="baseline"/>
                <w:lang w:val="en-US" w:eastAsia="zh-CN" w:bidi="ar-SA"/>
              </w:rPr>
              <w:t>6</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kern w:val="2"/>
                <w:sz w:val="21"/>
                <w:szCs w:val="21"/>
                <w:vertAlign w:val="baseline"/>
                <w:lang w:val="en-US" w:eastAsia="zh-CN" w:bidi="ar-SA"/>
              </w:rPr>
              <w:t>全过程造价咨询（跟踪审计）</w:t>
            </w:r>
            <w:r>
              <w:rPr>
                <w:rFonts w:hint="eastAsia" w:asciiTheme="minorEastAsia" w:hAnsiTheme="minorEastAsia" w:cstheme="minorEastAsia"/>
                <w:color w:val="auto"/>
                <w:kern w:val="2"/>
                <w:sz w:val="21"/>
                <w:szCs w:val="21"/>
                <w:vertAlign w:val="baseline"/>
                <w:lang w:val="en-US" w:eastAsia="zh-CN" w:bidi="ar-SA"/>
              </w:rPr>
              <w:t>服务</w:t>
            </w:r>
            <w:r>
              <w:rPr>
                <w:rFonts w:hint="eastAsia" w:asciiTheme="minorEastAsia" w:hAnsiTheme="minorEastAsia" w:eastAsiaTheme="minorEastAsia" w:cstheme="minorEastAsia"/>
                <w:color w:val="auto"/>
                <w:kern w:val="2"/>
                <w:sz w:val="21"/>
                <w:szCs w:val="21"/>
                <w:vertAlign w:val="baseline"/>
                <w:lang w:val="en-US" w:eastAsia="zh-CN" w:bidi="ar-SA"/>
              </w:rPr>
              <w:t>额外计列追加费</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kern w:val="2"/>
                <w:sz w:val="21"/>
                <w:szCs w:val="21"/>
                <w:vertAlign w:val="baseline"/>
                <w:lang w:val="en-US" w:eastAsia="zh-CN" w:bidi="ar-SA"/>
              </w:rPr>
              <w:t>7</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在咨询活动中以给回扣、恶意压低收费等方式进行不正当竞争</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cstheme="minorEastAsia"/>
                <w:color w:val="auto"/>
                <w:kern w:val="2"/>
                <w:sz w:val="21"/>
                <w:szCs w:val="21"/>
                <w:vertAlign w:val="baseline"/>
                <w:lang w:val="en-US" w:eastAsia="zh-CN" w:bidi="ar-SA"/>
              </w:rPr>
              <w:t>8</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lang w:eastAsia="zh-CN"/>
              </w:rPr>
              <w:t>采用其他方式</w:t>
            </w:r>
            <w:r>
              <w:rPr>
                <w:rFonts w:hint="eastAsia" w:asciiTheme="minorEastAsia" w:hAnsiTheme="minorEastAsia" w:eastAsiaTheme="minorEastAsia" w:cstheme="minorEastAsia"/>
                <w:color w:val="auto"/>
              </w:rPr>
              <w:t>谋取合同约定费用外的其他利益</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其他方面</w:t>
            </w: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1</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未及时完成宁波市工程造价行业信用平台的企业基本信息和业绩信息等的日常维护工作</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2</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未参加省、市信用能力评价</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3</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未按规定上报</w:t>
            </w:r>
            <w:r>
              <w:rPr>
                <w:rFonts w:hint="eastAsia" w:asciiTheme="minorEastAsia" w:hAnsiTheme="minorEastAsia" w:cstheme="minorEastAsia"/>
                <w:color w:val="auto"/>
                <w:sz w:val="21"/>
                <w:szCs w:val="21"/>
                <w:lang w:val="en-US" w:eastAsia="zh-CN"/>
              </w:rPr>
              <w:t>相关</w:t>
            </w:r>
            <w:r>
              <w:rPr>
                <w:rFonts w:hint="eastAsia" w:asciiTheme="minorEastAsia" w:hAnsiTheme="minorEastAsia" w:eastAsiaTheme="minorEastAsia" w:cstheme="minorEastAsia"/>
                <w:color w:val="auto"/>
                <w:sz w:val="21"/>
                <w:szCs w:val="21"/>
                <w:lang w:val="en-US" w:eastAsia="zh-CN"/>
              </w:rPr>
              <w:t>统计报表</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4</w:t>
            </w:r>
          </w:p>
        </w:tc>
        <w:tc>
          <w:tcPr>
            <w:tcW w:w="20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其他违反法律法规或行业规定的问题</w:t>
            </w: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否</w:t>
            </w:r>
            <w:r>
              <w:rPr>
                <w:rFonts w:hint="eastAsia" w:asciiTheme="minorEastAsia" w:hAnsiTheme="minorEastAsia" w:eastAsiaTheme="minorEastAsia" w:cstheme="minorEastAsia"/>
                <w:color w:val="auto"/>
                <w:sz w:val="24"/>
                <w:szCs w:val="24"/>
              </w:rPr>
              <w:sym w:font="Wingdings" w:char="00A8"/>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84"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eastAsia="zh-CN"/>
              </w:rPr>
              <w:t>企业公章</w:t>
            </w:r>
          </w:p>
        </w:tc>
        <w:tc>
          <w:tcPr>
            <w:tcW w:w="2435" w:type="pct"/>
            <w:gridSpan w:val="4"/>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val="en-US" w:eastAsia="zh-CN"/>
              </w:rPr>
            </w:pP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1"/>
                <w:szCs w:val="21"/>
                <w:vertAlign w:val="baseline"/>
                <w:lang w:val="en-US" w:eastAsia="zh-CN"/>
              </w:rPr>
              <w:t>填表人</w:t>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eastAsia="zh-CN"/>
              </w:rPr>
            </w:pPr>
          </w:p>
        </w:tc>
        <w:tc>
          <w:tcPr>
            <w:tcW w:w="2435" w:type="pct"/>
            <w:gridSpan w:val="4"/>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val="en-US" w:eastAsia="zh-CN"/>
              </w:rPr>
            </w:pP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联系电话</w:t>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eastAsia="zh-CN"/>
              </w:rPr>
            </w:pPr>
          </w:p>
        </w:tc>
        <w:tc>
          <w:tcPr>
            <w:tcW w:w="2435" w:type="pct"/>
            <w:gridSpan w:val="4"/>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val="en-US" w:eastAsia="zh-CN"/>
              </w:rPr>
            </w:pPr>
          </w:p>
        </w:tc>
        <w:tc>
          <w:tcPr>
            <w:tcW w:w="78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填表日期</w:t>
            </w:r>
          </w:p>
        </w:tc>
        <w:tc>
          <w:tcPr>
            <w:tcW w:w="9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color w:val="auto"/>
          <w:kern w:val="2"/>
          <w:sz w:val="18"/>
          <w:szCs w:val="18"/>
          <w:highlight w:val="none"/>
          <w:lang w:val="en-US" w:eastAsia="zh-CN" w:bidi="ar-SA"/>
        </w:rPr>
        <w:t>注：情况说明可写明企业存在问题的具体情况、企业对存在问题的整改情况及其他需要说明的情况等</w:t>
      </w:r>
      <w:r>
        <w:rPr>
          <w:rFonts w:hint="eastAsia" w:asciiTheme="minorEastAsia" w:hAnsiTheme="minorEastAsia" w:cstheme="minorEastAsia"/>
          <w:b w:val="0"/>
          <w:color w:val="auto"/>
          <w:kern w:val="2"/>
          <w:sz w:val="18"/>
          <w:szCs w:val="18"/>
          <w:highlight w:val="none"/>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3E5897"/>
    <w:rsid w:val="37DF11CD"/>
    <w:rsid w:val="3CBFBF73"/>
    <w:rsid w:val="3DCD528F"/>
    <w:rsid w:val="4F7D97D7"/>
    <w:rsid w:val="57FB577D"/>
    <w:rsid w:val="5A9945EC"/>
    <w:rsid w:val="5BFDBBDB"/>
    <w:rsid w:val="5E7F1733"/>
    <w:rsid w:val="5EFF9317"/>
    <w:rsid w:val="5F96DAD2"/>
    <w:rsid w:val="6FDF2C14"/>
    <w:rsid w:val="737F2F46"/>
    <w:rsid w:val="75DCC754"/>
    <w:rsid w:val="777F5BEB"/>
    <w:rsid w:val="7AE6D50A"/>
    <w:rsid w:val="7B5F25C8"/>
    <w:rsid w:val="7BD9A44A"/>
    <w:rsid w:val="7E46FE46"/>
    <w:rsid w:val="7EE9B898"/>
    <w:rsid w:val="7FDF51B1"/>
    <w:rsid w:val="7FF338D6"/>
    <w:rsid w:val="7FFF4D84"/>
    <w:rsid w:val="8FCF34F9"/>
    <w:rsid w:val="96F55587"/>
    <w:rsid w:val="9FBBF356"/>
    <w:rsid w:val="BBBD8D02"/>
    <w:rsid w:val="BBDE2882"/>
    <w:rsid w:val="BFFECB89"/>
    <w:rsid w:val="D13DCD2A"/>
    <w:rsid w:val="DFCF8D71"/>
    <w:rsid w:val="E836DC66"/>
    <w:rsid w:val="F5F76B66"/>
    <w:rsid w:val="F7DE5B71"/>
    <w:rsid w:val="FBBEFEB1"/>
    <w:rsid w:val="FD5C0E13"/>
    <w:rsid w:val="FDCCF8B3"/>
    <w:rsid w:val="FE1D7B66"/>
    <w:rsid w:val="FED11742"/>
    <w:rsid w:val="FEFFB394"/>
    <w:rsid w:val="FF7F5A31"/>
    <w:rsid w:val="FF95CE99"/>
    <w:rsid w:val="FFA54037"/>
    <w:rsid w:val="FFDE4AB0"/>
    <w:rsid w:val="FFE71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2 Char"/>
    <w:basedOn w:val="1"/>
    <w:qFormat/>
    <w:uiPriority w:val="0"/>
    <w:pPr>
      <w:spacing w:line="360" w:lineRule="auto"/>
      <w:ind w:firstLine="560" w:firstLineChars="200"/>
    </w:pPr>
    <w:rPr>
      <w:rFonts w:eastAsia="仿宋_GB2312"/>
      <w:sz w:val="28"/>
    </w:rPr>
  </w:style>
  <w:style w:type="character" w:customStyle="1" w:styleId="9">
    <w:name w:val="font31"/>
    <w:basedOn w:val="7"/>
    <w:qFormat/>
    <w:uiPriority w:val="0"/>
    <w:rPr>
      <w:rFonts w:hint="eastAsia" w:ascii="宋体" w:hAnsi="宋体" w:eastAsia="宋体" w:cs="宋体"/>
      <w:color w:val="FF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2021-07-20T01:22:00Z</dcterms:created>
  <dc:creator>nbzjj</dc:creator>
  <cp:lastModifiedBy>nbzjj</cp:lastModifiedBy>
  <cp:lastPrinted>2022-06-29T07:12:00Z</cp:lastPrinted>
  <dcterms:modified xsi:type="dcterms:W3CDTF">2022-06-30T16:15:40Z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